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Анатомия и возрастная физиология</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Татьяна Сергеевна/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«Анатомия и возрастная физиология»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«Анатомия и возрастная физиология».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«Анатомия и возрастная физиология»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психолого-педагогические технологии в профессиональной деятельности, необходимые для индивидуализации обучения, развития, воспитания</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психолого-педагогические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применять психолого- педагогические технологии в профессиональной деятельности, необходимые для индивидуализации обучения, развития, воспитания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применять психолого- педагогические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приемами психолого-педагогического обучения, оптимально обеспечивающими индивидуализацию обучения, развития, воспитания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приемами психолого-педагогического обучения, оптимально обеспечивающими индивидуализацию обучения, развития, воспитания обучающихся с особыми образовательными потребностями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способы трансформации специальных научных знаний в соответствии с психофизиологическими, возрастными, познавательными особенностями обучающихся, в т.ч. с особыми образовательными потребностями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осуществлять трансформацию специальных научных знаний в соответствии с психофизиологическими, возрастными, познавательными особенностями обучающихся, в т.ч. с особыми образовательными потребностями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методами научно- педагогического исследования в предметной области</w:t>
            </w:r>
          </w:p>
        </w:tc>
      </w:tr>
      <w:tr>
        <w:trPr>
          <w:trHeight w:hRule="exact" w:val="395.42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методами анализа педагогической ситуации,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рефлексии на основе специальных научных знаний в соответствии с предметной областью согласно освоенному профилю подготовки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Б1.О.03.02 «Анатомия и возрастная физиология»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учебных предметов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Школьный практикум по дисциплине "Основы безопасности жизнедеятельности"</w:t>
            </w:r>
          </w:p>
          <w:p>
            <w:pPr>
              <w:jc w:val="center"/>
              <w:spacing w:after="0" w:line="240" w:lineRule="auto"/>
              <w:rPr>
                <w:sz w:val="22"/>
                <w:szCs w:val="22"/>
              </w:rPr>
            </w:pPr>
            <w:r>
              <w:rPr>
                <w:rFonts w:ascii="Times New Roman" w:hAnsi="Times New Roman" w:cs="Times New Roman"/>
                <w:color w:val="#000000"/>
                <w:sz w:val="22"/>
                <w:szCs w:val="22"/>
              </w:rPr>
              <w:t> Организация научно-исследовательской работы по учебному предмету "Основы безопасности жизнедеятельности"</w:t>
            </w:r>
          </w:p>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образовательных программ по учебному предмету "Основы безопасности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ОПК-8,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3970" w:type="dxa"/>
          </w:tcPr>
          <w:p/>
        </w:tc>
        <w:tc>
          <w:tcPr>
            <w:tcW w:w="3828" w:type="dxa"/>
          </w:tcPr>
          <w:p/>
        </w:tc>
        <w:tc>
          <w:tcPr>
            <w:tcW w:w="852" w:type="dxa"/>
          </w:tcPr>
          <w:p/>
        </w:tc>
        <w:tc>
          <w:tcPr>
            <w:tcW w:w="993" w:type="dxa"/>
          </w:tcPr>
          <w:p/>
        </w:tc>
      </w:tr>
      <w:tr>
        <w:trPr>
          <w:trHeight w:hRule="exact" w:val="756.314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Возрастные особенности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Индивиждуальные консультации по подготвоке к зачету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175.8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курса «Возрастная анатомия, физиология и гигиена»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содержание курса. Взаимосвязь возрастной анатомии, физиологии и гигиены с другими науками. Развитие анатомии и физиологии и их части, посвященной развитию детей и подростков.</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 Возрастная</w:t>
            </w:r>
          </w:p>
          <w:p>
            <w:pPr>
              <w:jc w:val="center"/>
              <w:spacing w:after="0" w:line="240" w:lineRule="auto"/>
              <w:rPr>
                <w:sz w:val="24"/>
                <w:szCs w:val="24"/>
              </w:rPr>
            </w:pPr>
            <w:r>
              <w:rPr>
                <w:rFonts w:ascii="Times New Roman" w:hAnsi="Times New Roman" w:cs="Times New Roman"/>
                <w:b/>
                <w:color w:val="#000000"/>
                <w:sz w:val="24"/>
                <w:szCs w:val="24"/>
              </w:rPr>
              <w:t> периодизация.</w:t>
            </w:r>
          </w:p>
        </w:tc>
      </w:tr>
      <w:tr>
        <w:trPr>
          <w:trHeight w:hRule="exact" w:val="2611.1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процессов роста и развития. Определение понятий. Общие закономерности роста, развития: непрерывность, гетерохронность, системогенез, биологическая надежность. Нейрогуморальная регуляция функций организма. Гомеостаз и определяющие его факторы. Возрастная периодизация. Календарный и биологический возраст, их соотношение, критерии определения биологического возраста на разных этапах онтогенеза. Морфологические критерии биологического возраста на разных этапах онтогенеза. Роль среды и наследственности. Фенотип и генотип. Особенности овогенеза и сперматогенеза. Наследственные болезни и пороки развития. Факторы внешней среды, воздействующие на организм в процессе его жизнедеятельности, роста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развития. Мутация. Мутагенные факторы. Основные показатели развития ребенка.</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высшей нервной деятельности. Индивидуально- типологические особенности ребенка.</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Морфофункциональная организация коры больших полушарий. Ее роль в организации ответной реакции организма. Рефлекс как основной акт нервной деятельности. Механизм образования условных рефлексов у детей и подростков. Динамический стереотип – основа воспитания навыков, режима дня. Нервный центр. Возбуждение и торможение, их взаимодействие и совершенствование в онтогенезе. Интегративные процессы в центральной нервной системе, как основа психических функций.Системная организация процесса восприятия. Нейрофизиологические механизмы внимания. Структурно- функциональная организация внимания. Системная организация речевой деятельности. Развитие механизмов речи. Рефлекторный характер речевой деятельности. Сигнальные системы действительности. Взаимодействие I и II сигнальных систем. Особенности развития их у детей. Анализ и синтез речевых сигналов как основа процесса мышления. Физиологические основы памяти. Понятие о доминанте. Эмоции как компонент целостных поведенческих реакций. Физиологические основы и биологическая роль эмоций. Влияние эмоциональных состояний на обучение и память.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Возрастная физиология и гигиена анализаторов.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анализаторов в познании мира. Общий план строения анализаторов. Восприятие как результат работы сенсорных систем. Принципы восприятия. Функциональное созревание сенсорных систем. Возрастные нарушения сенсорных систем, профилактика их нарушений. Аналитико-синтетическая деятельность коры больших полушарий.</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 Возрастная</w:t>
            </w:r>
          </w:p>
          <w:p>
            <w:pPr>
              <w:jc w:val="center"/>
              <w:spacing w:after="0" w:line="240" w:lineRule="auto"/>
              <w:rPr>
                <w:sz w:val="24"/>
                <w:szCs w:val="24"/>
              </w:rPr>
            </w:pPr>
            <w:r>
              <w:rPr>
                <w:rFonts w:ascii="Times New Roman" w:hAnsi="Times New Roman" w:cs="Times New Roman"/>
                <w:b/>
                <w:color w:val="#000000"/>
                <w:sz w:val="24"/>
                <w:szCs w:val="24"/>
              </w:rPr>
              <w:t> периодизация.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роста и развития. Физическое развитие, его показатели.</w:t>
            </w:r>
          </w:p>
          <w:p>
            <w:pPr>
              <w:jc w:val="left"/>
              <w:spacing w:after="0" w:line="240" w:lineRule="auto"/>
              <w:rPr>
                <w:sz w:val="24"/>
                <w:szCs w:val="24"/>
              </w:rPr>
            </w:pPr>
            <w:r>
              <w:rPr>
                <w:rFonts w:ascii="Times New Roman" w:hAnsi="Times New Roman" w:cs="Times New Roman"/>
                <w:color w:val="#000000"/>
                <w:sz w:val="24"/>
                <w:szCs w:val="24"/>
              </w:rPr>
              <w:t> 2. Основные закономерности роста и развития.</w:t>
            </w:r>
          </w:p>
          <w:p>
            <w:pPr>
              <w:jc w:val="left"/>
              <w:spacing w:after="0" w:line="240" w:lineRule="auto"/>
              <w:rPr>
                <w:sz w:val="24"/>
                <w:szCs w:val="24"/>
              </w:rPr>
            </w:pPr>
            <w:r>
              <w:rPr>
                <w:rFonts w:ascii="Times New Roman" w:hAnsi="Times New Roman" w:cs="Times New Roman"/>
                <w:color w:val="#000000"/>
                <w:sz w:val="24"/>
                <w:szCs w:val="24"/>
              </w:rPr>
              <w:t> 3. Биологическая акселерация и ретардация развития.</w:t>
            </w:r>
          </w:p>
          <w:p>
            <w:pPr>
              <w:jc w:val="left"/>
              <w:spacing w:after="0" w:line="240" w:lineRule="auto"/>
              <w:rPr>
                <w:sz w:val="24"/>
                <w:szCs w:val="24"/>
              </w:rPr>
            </w:pPr>
            <w:r>
              <w:rPr>
                <w:rFonts w:ascii="Times New Roman" w:hAnsi="Times New Roman" w:cs="Times New Roman"/>
                <w:color w:val="#000000"/>
                <w:sz w:val="24"/>
                <w:szCs w:val="24"/>
              </w:rPr>
              <w:t> 4. Физическое развитие как критерий здоровья.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пищеварения, обмена веществ. Гигиена питания.</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Строение и функции системы пищеварения, обмен веществ и энергии. Определение роста и массы тела испытуемого. Определение  величины основного обмена.	Гигиенические требования к питанию детей и подростков. Витамины, их значение в обмене веществ.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«Анатомия и возрастная физиология» / Котлярова Татьяна Сергеевна.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978-5-379-02027-9.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http://www.iprbookshop.ru/65272.html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Дробинская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https://www.biblio-online.ru/bcode/431797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опорно-двигательная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висцеральные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https://urait.ru/bcode/426327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организм</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регуляторные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интегративные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978-5-9916-2935-5.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https://urait.ru/bcode/425265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Железнов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Ульянов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Яхина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http://www.iprbookshop.ru/21795.html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95.2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13.4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2024-2025_ФГОС3++2024_Бак-ЗФО-ПО(БЖД)(24)_plx_Анатомия и возрастная физиология</dc:title>
  <dc:creator>FastReport.NET</dc:creator>
</cp:coreProperties>
</file>